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20" w:lineRule="atLeast"/>
        <w:contextualSpacing/>
        <w:jc w:val="center"/>
        <w:rPr>
          <w:rFonts w:ascii="方正小标宋简体" w:eastAsia="方正小标宋简体"/>
          <w:sz w:val="44"/>
          <w:szCs w:val="44"/>
        </w:rPr>
      </w:pPr>
      <w:r>
        <w:rPr>
          <w:rFonts w:hint="eastAsia" w:ascii="方正小标宋简体" w:eastAsia="方正小标宋简体"/>
          <w:sz w:val="44"/>
          <w:szCs w:val="44"/>
        </w:rPr>
        <w:t>天津铁道职业技术学院</w:t>
      </w:r>
    </w:p>
    <w:p>
      <w:pPr>
        <w:widowControl w:val="0"/>
        <w:spacing w:after="0" w:line="220" w:lineRule="atLeast"/>
        <w:contextualSpacing/>
        <w:jc w:val="center"/>
        <w:rPr>
          <w:rFonts w:ascii="方正小标宋简体" w:eastAsia="方正小标宋简体"/>
          <w:sz w:val="44"/>
          <w:szCs w:val="44"/>
        </w:rPr>
      </w:pPr>
      <w:r>
        <w:rPr>
          <w:rFonts w:hint="eastAsia" w:ascii="方正小标宋简体" w:eastAsia="方正小标宋简体"/>
          <w:sz w:val="44"/>
          <w:szCs w:val="44"/>
        </w:rPr>
        <w:t>2020年高职扩招专项招生简章</w:t>
      </w:r>
    </w:p>
    <w:p>
      <w:pPr>
        <w:widowControl w:val="0"/>
        <w:spacing w:beforeLines="50" w:afterLines="50" w:line="220" w:lineRule="atLeast"/>
        <w:contextualSpacing/>
        <w:jc w:val="center"/>
        <w:rPr>
          <w:rFonts w:ascii="楷体" w:hAnsi="楷体" w:eastAsia="楷体"/>
          <w:b/>
          <w:sz w:val="32"/>
          <w:szCs w:val="32"/>
        </w:rPr>
      </w:pPr>
      <w:r>
        <w:rPr>
          <w:rFonts w:hint="eastAsia" w:ascii="楷体" w:hAnsi="楷体" w:eastAsia="楷体"/>
          <w:b/>
          <w:sz w:val="32"/>
          <w:szCs w:val="32"/>
        </w:rPr>
        <w:t>（招生代码：1242）</w:t>
      </w:r>
    </w:p>
    <w:p>
      <w:pPr>
        <w:widowControl w:val="0"/>
        <w:spacing w:after="0" w:line="420" w:lineRule="exact"/>
        <w:ind w:firstLine="560" w:firstLineChars="200"/>
        <w:contextualSpacing/>
        <w:rPr>
          <w:rFonts w:ascii="仿宋" w:hAnsi="仿宋" w:eastAsia="仿宋"/>
          <w:sz w:val="28"/>
          <w:szCs w:val="28"/>
        </w:rPr>
      </w:pPr>
      <w:r>
        <w:rPr>
          <w:rFonts w:hint="eastAsia" w:ascii="仿宋" w:hAnsi="仿宋" w:eastAsia="仿宋"/>
          <w:sz w:val="28"/>
          <w:szCs w:val="28"/>
        </w:rPr>
        <w:t>依据《中华人民共和国教育法》、《中华人民共和国高等教育法》及教育部和天津市有关规定，按照《市招委关于印发2020年天津市高职扩招专项考试招生工作实施方案的通知》的要求，结合学院实际情况，制订我院高职扩招专项考试招生简章。</w:t>
      </w:r>
    </w:p>
    <w:p>
      <w:pPr>
        <w:widowControl w:val="0"/>
        <w:numPr>
          <w:ilvl w:val="0"/>
          <w:numId w:val="1"/>
        </w:numPr>
        <w:spacing w:after="0" w:line="420" w:lineRule="exact"/>
        <w:ind w:firstLine="560" w:firstLineChars="200"/>
        <w:contextualSpacing/>
        <w:rPr>
          <w:rFonts w:ascii="黑体" w:hAnsi="黑体" w:eastAsia="黑体"/>
          <w:sz w:val="28"/>
          <w:szCs w:val="28"/>
        </w:rPr>
      </w:pPr>
      <w:r>
        <w:rPr>
          <w:rFonts w:hint="eastAsia" w:ascii="黑体" w:hAnsi="黑体" w:eastAsia="黑体"/>
          <w:sz w:val="28"/>
          <w:szCs w:val="28"/>
        </w:rPr>
        <w:t>学院概况</w:t>
      </w:r>
    </w:p>
    <w:p>
      <w:pPr>
        <w:widowControl w:val="0"/>
        <w:spacing w:after="0" w:line="420" w:lineRule="exact"/>
        <w:ind w:firstLine="560" w:firstLineChars="200"/>
        <w:contextualSpacing/>
        <w:rPr>
          <w:rFonts w:ascii="仿宋" w:hAnsi="仿宋" w:eastAsia="仿宋"/>
          <w:sz w:val="28"/>
          <w:szCs w:val="28"/>
        </w:rPr>
      </w:pPr>
      <w:r>
        <w:rPr>
          <w:rFonts w:hint="eastAsia" w:ascii="仿宋" w:hAnsi="仿宋" w:eastAsia="仿宋"/>
          <w:sz w:val="28"/>
          <w:szCs w:val="28"/>
        </w:rPr>
        <w:t>学院名称：天津铁道职业技术学院</w:t>
      </w:r>
    </w:p>
    <w:p>
      <w:pPr>
        <w:widowControl w:val="0"/>
        <w:spacing w:after="0" w:line="420" w:lineRule="exact"/>
        <w:ind w:firstLine="560" w:firstLineChars="200"/>
        <w:contextualSpacing/>
        <w:rPr>
          <w:rFonts w:ascii="仿宋" w:hAnsi="仿宋" w:eastAsia="仿宋"/>
          <w:sz w:val="28"/>
          <w:szCs w:val="28"/>
        </w:rPr>
      </w:pPr>
      <w:r>
        <w:rPr>
          <w:rFonts w:hint="eastAsia" w:ascii="仿宋" w:hAnsi="仿宋" w:eastAsia="仿宋"/>
          <w:sz w:val="28"/>
          <w:szCs w:val="28"/>
        </w:rPr>
        <w:t>办学类型：公办全日制普通高等学校</w:t>
      </w:r>
    </w:p>
    <w:p>
      <w:pPr>
        <w:widowControl w:val="0"/>
        <w:spacing w:after="0" w:line="420" w:lineRule="exact"/>
        <w:ind w:firstLine="560" w:firstLineChars="200"/>
        <w:contextualSpacing/>
        <w:rPr>
          <w:rFonts w:ascii="仿宋" w:hAnsi="仿宋" w:eastAsia="仿宋"/>
          <w:sz w:val="28"/>
          <w:szCs w:val="28"/>
        </w:rPr>
      </w:pPr>
      <w:r>
        <w:rPr>
          <w:rFonts w:hint="eastAsia" w:ascii="仿宋" w:hAnsi="仿宋" w:eastAsia="仿宋"/>
          <w:sz w:val="28"/>
          <w:szCs w:val="28"/>
        </w:rPr>
        <w:t>办学层次：高职</w:t>
      </w:r>
    </w:p>
    <w:p>
      <w:pPr>
        <w:widowControl w:val="0"/>
        <w:spacing w:after="0" w:line="420" w:lineRule="exact"/>
        <w:ind w:firstLine="560" w:firstLineChars="200"/>
        <w:contextualSpacing/>
        <w:rPr>
          <w:rFonts w:ascii="仿宋" w:hAnsi="仿宋" w:eastAsia="仿宋"/>
          <w:sz w:val="28"/>
          <w:szCs w:val="28"/>
        </w:rPr>
      </w:pPr>
      <w:r>
        <w:rPr>
          <w:rFonts w:hint="eastAsia" w:ascii="仿宋" w:hAnsi="仿宋" w:eastAsia="仿宋"/>
          <w:sz w:val="28"/>
          <w:szCs w:val="28"/>
        </w:rPr>
        <w:t>学院地址：主校区：天津市河北区建昌道21号</w:t>
      </w:r>
    </w:p>
    <w:p>
      <w:pPr>
        <w:widowControl w:val="0"/>
        <w:spacing w:after="0" w:line="420" w:lineRule="exact"/>
        <w:ind w:firstLine="1979" w:firstLineChars="707"/>
        <w:contextualSpacing/>
        <w:rPr>
          <w:rFonts w:ascii="仿宋" w:hAnsi="仿宋" w:eastAsia="仿宋"/>
          <w:sz w:val="28"/>
          <w:szCs w:val="28"/>
        </w:rPr>
      </w:pPr>
      <w:r>
        <w:rPr>
          <w:rFonts w:hint="eastAsia" w:ascii="仿宋" w:hAnsi="仿宋" w:eastAsia="仿宋"/>
          <w:sz w:val="28"/>
          <w:szCs w:val="28"/>
        </w:rPr>
        <w:t>南校区：天津市河北区金钟河大街232号</w:t>
      </w:r>
    </w:p>
    <w:tbl>
      <w:tblPr>
        <w:tblStyle w:val="5"/>
        <w:tblpPr w:leftFromText="180" w:rightFromText="180" w:vertAnchor="text" w:horzAnchor="page" w:tblpX="1690" w:tblpY="6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939"/>
        <w:gridCol w:w="869"/>
        <w:gridCol w:w="1455"/>
        <w:gridCol w:w="870"/>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序号</w:t>
            </w:r>
          </w:p>
        </w:tc>
        <w:tc>
          <w:tcPr>
            <w:tcW w:w="2939"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专业名称</w:t>
            </w:r>
          </w:p>
        </w:tc>
        <w:tc>
          <w:tcPr>
            <w:tcW w:w="869"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学制</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学费(元/年)</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人数</w:t>
            </w:r>
          </w:p>
        </w:tc>
        <w:tc>
          <w:tcPr>
            <w:tcW w:w="2572"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道路桥梁工程技术</w:t>
            </w:r>
          </w:p>
        </w:tc>
        <w:tc>
          <w:tcPr>
            <w:tcW w:w="869" w:type="dxa"/>
          </w:tcPr>
          <w:p>
            <w:pPr>
              <w:widowControl w:val="0"/>
              <w:spacing w:after="0"/>
              <w:contextualSpacing/>
              <w:jc w:val="center"/>
              <w:rPr>
                <w:rFonts w:hint="default" w:asciiTheme="majorEastAsia" w:hAnsiTheme="majorEastAsia" w:eastAsiaTheme="majorEastAsia" w:cstheme="majorEastAsia"/>
                <w:kern w:val="2"/>
                <w:sz w:val="21"/>
                <w:szCs w:val="21"/>
                <w:lang w:val="en-US" w:eastAsia="zh-CN"/>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restart"/>
          </w:tcPr>
          <w:p>
            <w:pPr>
              <w:widowControl w:val="0"/>
              <w:spacing w:after="0" w:line="312" w:lineRule="auto"/>
              <w:contextualSpacing/>
              <w:rPr>
                <w:rFonts w:asciiTheme="majorEastAsia" w:hAnsiTheme="majorEastAsia" w:eastAsiaTheme="majorEastAsia" w:cstheme="majorEastAsia"/>
                <w:kern w:val="2"/>
                <w:sz w:val="21"/>
                <w:szCs w:val="21"/>
              </w:rPr>
            </w:pPr>
          </w:p>
          <w:p>
            <w:pPr>
              <w:widowControl w:val="0"/>
              <w:spacing w:after="0" w:line="312" w:lineRule="auto"/>
              <w:contextualSpacing/>
              <w:rPr>
                <w:rFonts w:asciiTheme="majorEastAsia" w:hAnsiTheme="majorEastAsia" w:eastAsiaTheme="majorEastAsia" w:cstheme="majorEastAsia"/>
                <w:kern w:val="2"/>
                <w:sz w:val="21"/>
                <w:szCs w:val="21"/>
              </w:rPr>
            </w:pPr>
          </w:p>
          <w:p>
            <w:pPr>
              <w:widowControl w:val="0"/>
              <w:spacing w:after="0" w:line="312" w:lineRule="auto"/>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 退役军人、下岗失业人员、农民工、新型职业农民、企业员工和基层农技人员等在岗人员、普通高中(中职)毕业生等均可报考；</w:t>
            </w:r>
          </w:p>
          <w:p>
            <w:pPr>
              <w:widowControl w:val="0"/>
              <w:spacing w:after="0" w:line="312" w:lineRule="auto"/>
              <w:contextualSpacing/>
              <w:rPr>
                <w:rFonts w:asciiTheme="majorEastAsia" w:hAnsiTheme="majorEastAsia" w:eastAsiaTheme="majorEastAsia" w:cstheme="majorEastAsia"/>
                <w:kern w:val="2"/>
                <w:sz w:val="21"/>
                <w:szCs w:val="21"/>
              </w:rPr>
            </w:pPr>
          </w:p>
          <w:p>
            <w:pPr>
              <w:widowControl w:val="0"/>
              <w:numPr>
                <w:ilvl w:val="0"/>
                <w:numId w:val="2"/>
              </w:numPr>
              <w:spacing w:after="0" w:line="312" w:lineRule="auto"/>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经退役军人事务部门认定的自主就业退役军人按照国家规定</w:t>
            </w:r>
            <w:r>
              <w:rPr>
                <w:rFonts w:hint="eastAsia" w:asciiTheme="majorEastAsia" w:hAnsiTheme="majorEastAsia" w:eastAsiaTheme="majorEastAsia" w:cstheme="majorEastAsia"/>
                <w:kern w:val="2"/>
                <w:sz w:val="21"/>
                <w:szCs w:val="21"/>
                <w:lang w:val="en-US" w:eastAsia="zh-CN"/>
              </w:rPr>
              <w:t>减免</w:t>
            </w:r>
            <w:r>
              <w:rPr>
                <w:rFonts w:hint="eastAsia" w:asciiTheme="majorEastAsia" w:hAnsiTheme="majorEastAsia" w:eastAsiaTheme="majorEastAsia" w:cstheme="majorEastAsia"/>
                <w:kern w:val="2"/>
                <w:sz w:val="21"/>
                <w:szCs w:val="21"/>
              </w:rPr>
              <w:t>学费。</w:t>
            </w:r>
          </w:p>
          <w:p>
            <w:pPr>
              <w:widowControl w:val="0"/>
              <w:spacing w:after="0" w:line="312" w:lineRule="auto"/>
              <w:contextualSpacing/>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建筑工程技术</w:t>
            </w:r>
          </w:p>
        </w:tc>
        <w:tc>
          <w:tcPr>
            <w:tcW w:w="869"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3</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工程造价</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4</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工程测量技术</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40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物流管理</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30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6</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通信技术</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7</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计算机网络技术</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5500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40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8</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电气自动化技术</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9</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高速铁路客运乘务</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10</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铁道交通运营管理</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11</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铁道机车</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12</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铁道车辆</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13</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铁道供电技术</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14</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铁道信号自动控制</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bookmarkStart w:id="2" w:name="_GoBack"/>
            <w:bookmarkEnd w:id="2"/>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15</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城市轨道交通车辆技术</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16</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城市轨道交通运营管理</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17</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城市轨道交通工程技术</w:t>
            </w:r>
          </w:p>
        </w:tc>
        <w:tc>
          <w:tcPr>
            <w:tcW w:w="869" w:type="dxa"/>
            <w:vAlign w:val="top"/>
          </w:tcPr>
          <w:p>
            <w:pPr>
              <w:widowControl w:val="0"/>
              <w:spacing w:after="0"/>
              <w:contextualSpacing/>
              <w:jc w:val="center"/>
              <w:rPr>
                <w:rFonts w:hint="default"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4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18</w:t>
            </w:r>
          </w:p>
        </w:tc>
        <w:tc>
          <w:tcPr>
            <w:tcW w:w="2939" w:type="dxa"/>
            <w:vAlign w:val="center"/>
          </w:tcPr>
          <w:p>
            <w:pPr>
              <w:widowControl w:val="0"/>
              <w:spacing w:after="0"/>
              <w:contextualSpacing/>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铁道工程技术</w:t>
            </w:r>
          </w:p>
        </w:tc>
        <w:tc>
          <w:tcPr>
            <w:tcW w:w="869" w:type="dxa"/>
            <w:vAlign w:val="top"/>
          </w:tcPr>
          <w:p>
            <w:pPr>
              <w:widowControl w:val="0"/>
              <w:spacing w:after="0"/>
              <w:contextualSpacing/>
              <w:jc w:val="center"/>
              <w:rPr>
                <w:rFonts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rPr>
              <w:t>三年</w:t>
            </w:r>
          </w:p>
        </w:tc>
        <w:tc>
          <w:tcPr>
            <w:tcW w:w="1455" w:type="dxa"/>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5000</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5903" w:type="dxa"/>
            <w:gridSpan w:val="4"/>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合计</w:t>
            </w:r>
          </w:p>
        </w:tc>
        <w:tc>
          <w:tcPr>
            <w:tcW w:w="870" w:type="dxa"/>
            <w:vAlign w:val="center"/>
          </w:tcPr>
          <w:p>
            <w:pPr>
              <w:widowControl w:val="0"/>
              <w:spacing w:after="0"/>
              <w:contextualSpacing/>
              <w:jc w:val="center"/>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410</w:t>
            </w:r>
          </w:p>
        </w:tc>
        <w:tc>
          <w:tcPr>
            <w:tcW w:w="2572" w:type="dxa"/>
            <w:vMerge w:val="continue"/>
            <w:vAlign w:val="center"/>
          </w:tcPr>
          <w:p>
            <w:pPr>
              <w:widowControl w:val="0"/>
              <w:spacing w:after="0"/>
              <w:contextualSpacing/>
              <w:jc w:val="center"/>
              <w:rPr>
                <w:rFonts w:asciiTheme="majorEastAsia" w:hAnsiTheme="majorEastAsia" w:eastAsiaTheme="majorEastAsia" w:cstheme="majorEastAsia"/>
                <w:kern w:val="2"/>
                <w:sz w:val="21"/>
                <w:szCs w:val="21"/>
              </w:rPr>
            </w:pPr>
          </w:p>
        </w:tc>
      </w:tr>
    </w:tbl>
    <w:p>
      <w:pPr>
        <w:widowControl w:val="0"/>
        <w:numPr>
          <w:ilvl w:val="0"/>
          <w:numId w:val="1"/>
        </w:numPr>
        <w:spacing w:after="0" w:line="460" w:lineRule="exact"/>
        <w:ind w:firstLine="560" w:firstLineChars="200"/>
        <w:contextualSpacing/>
        <w:rPr>
          <w:rFonts w:ascii="黑体" w:hAnsi="黑体" w:eastAsia="黑体"/>
          <w:sz w:val="28"/>
          <w:szCs w:val="28"/>
        </w:rPr>
      </w:pPr>
      <w:r>
        <w:rPr>
          <w:rFonts w:hint="eastAsia" w:ascii="黑体" w:hAnsi="黑体" w:eastAsia="黑体"/>
          <w:sz w:val="28"/>
          <w:szCs w:val="28"/>
        </w:rPr>
        <w:t>招生计划及学费标准</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三、报名条件</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(一)符合下列条件的人员，具备报名资格:</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1.遵守中华人民共和国宪法和法律。</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2.具有</w:t>
      </w:r>
      <w:r>
        <w:rPr>
          <w:rFonts w:hint="eastAsia" w:ascii="仿宋" w:hAnsi="仿宋" w:eastAsia="仿宋"/>
          <w:b/>
          <w:sz w:val="28"/>
          <w:szCs w:val="28"/>
          <w:u w:val="single"/>
        </w:rPr>
        <w:t>本市常住户口</w:t>
      </w:r>
      <w:r>
        <w:rPr>
          <w:rFonts w:hint="eastAsia" w:ascii="仿宋" w:hAnsi="仿宋" w:eastAsia="仿宋"/>
          <w:sz w:val="28"/>
          <w:szCs w:val="28"/>
        </w:rPr>
        <w:t>、</w:t>
      </w:r>
      <w:r>
        <w:rPr>
          <w:rFonts w:hint="eastAsia" w:ascii="仿宋" w:hAnsi="仿宋" w:eastAsia="仿宋"/>
          <w:b/>
          <w:sz w:val="28"/>
          <w:szCs w:val="28"/>
          <w:u w:val="single"/>
        </w:rPr>
        <w:t>蓝印户口</w:t>
      </w:r>
      <w:r>
        <w:rPr>
          <w:rFonts w:hint="eastAsia" w:ascii="仿宋" w:hAnsi="仿宋" w:eastAsia="仿宋"/>
          <w:sz w:val="28"/>
          <w:szCs w:val="28"/>
        </w:rPr>
        <w:t>或</w:t>
      </w:r>
      <w:r>
        <w:rPr>
          <w:rFonts w:hint="eastAsia" w:ascii="仿宋" w:hAnsi="仿宋" w:eastAsia="仿宋"/>
          <w:b/>
          <w:sz w:val="28"/>
          <w:szCs w:val="28"/>
          <w:u w:val="single"/>
        </w:rPr>
        <w:t>居住证</w:t>
      </w:r>
      <w:r>
        <w:rPr>
          <w:rFonts w:hint="eastAsia" w:ascii="仿宋" w:hAnsi="仿宋" w:eastAsia="仿宋"/>
          <w:sz w:val="28"/>
          <w:szCs w:val="28"/>
        </w:rPr>
        <w:t>的普通高中毕业生、中职(含中专、技工学校、职业高中)毕业生，退役军人、下岗失业人员、农民工、新型职业农民，以及企业员工和基层农技人员等在岗人员。</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lang w:val="en-US" w:eastAsia="zh-CN"/>
        </w:rPr>
        <w:t>3.年龄在18周岁至45周岁，</w:t>
      </w:r>
      <w:r>
        <w:rPr>
          <w:rFonts w:hint="eastAsia" w:ascii="仿宋" w:hAnsi="仿宋" w:eastAsia="仿宋"/>
          <w:sz w:val="28"/>
          <w:szCs w:val="28"/>
        </w:rPr>
        <w:t>身体状况符合相关要求。</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(二)下列人员不得报考：</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普通高中和中职(含中专、技工学校、职业高中)学校非应届毕业的在校生。</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具有高等学历教育资格的高等学校在校生。</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在上一年度参加高校招生考试中利用通讯工具作弊、由他人代替考试或代替他人考试等被认定为考试作弊行为情节严重的考生。</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因触犯刑律已被有关部门采取强制措施或正在服刑者。</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已报名参加2020年普通高考并被录取的考生。</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已参加2020年高职学院分类考试(含春季高考、三二分段考试等)并被录取的考生。</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四、报名组织</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(一)网上正式报名</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1.报名网址:招考资讯网(http://www.zhaokao.net)</w:t>
      </w:r>
      <w:r>
        <w:rPr>
          <w:rFonts w:hint="eastAsia"/>
        </w:rPr>
        <w:t>。</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2.报名时间: 2020年9月23日— 9月30日。</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仿宋" w:hAnsi="仿宋" w:eastAsia="仿宋"/>
          <w:sz w:val="28"/>
          <w:szCs w:val="28"/>
          <w:lang w:val="en-US" w:eastAsia="zh-CN"/>
        </w:rPr>
      </w:pPr>
      <w:r>
        <w:rPr>
          <w:rFonts w:hint="eastAsia" w:ascii="仿宋" w:hAnsi="仿宋" w:eastAsia="仿宋"/>
          <w:sz w:val="28"/>
          <w:szCs w:val="28"/>
        </w:rPr>
        <w:t>3.网上报名时，</w:t>
      </w:r>
      <w:r>
        <w:rPr>
          <w:rFonts w:hint="eastAsia" w:ascii="仿宋" w:hAnsi="仿宋" w:eastAsia="仿宋"/>
          <w:sz w:val="28"/>
          <w:szCs w:val="28"/>
          <w:lang w:val="en-US" w:eastAsia="zh-CN"/>
        </w:rPr>
        <w:t>根据提示录入信息，填报志愿（每个考生填报一所志愿院校，每所志愿院校可填报2个符合身体条件要求的专业）。考生须将报名信息核对无误后提交，并保存好网上报名序号。</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楷体" w:hAnsi="楷体" w:eastAsia="楷体"/>
          <w:sz w:val="28"/>
          <w:szCs w:val="28"/>
        </w:rPr>
      </w:pPr>
      <w:r>
        <w:rPr>
          <w:rFonts w:hint="eastAsia" w:ascii="楷体" w:hAnsi="楷体" w:eastAsia="楷体"/>
          <w:sz w:val="28"/>
          <w:szCs w:val="28"/>
        </w:rPr>
        <w:t>(二)现场确认</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hint="default" w:ascii="楷体" w:hAnsi="楷体" w:eastAsia="楷体"/>
          <w:sz w:val="28"/>
          <w:szCs w:val="28"/>
          <w:lang w:val="en-US" w:eastAsia="zh-CN"/>
        </w:rPr>
      </w:pPr>
      <w:r>
        <w:rPr>
          <w:rFonts w:hint="eastAsia" w:ascii="仿宋" w:hAnsi="仿宋" w:eastAsia="仿宋" w:cs="仿宋"/>
          <w:sz w:val="28"/>
          <w:szCs w:val="28"/>
          <w:lang w:val="en-US" w:eastAsia="zh-CN"/>
        </w:rPr>
        <w:t>已履行网上报名手续的考生，必须进行现场确认，未进行现场确认的考生不能参加考试。</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1.确认地点:天津市河北区建昌道21号天津铁道职业技术学院。</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2.确认时间:2020年9月26日—9月30日</w:t>
      </w:r>
      <w:r>
        <w:rPr>
          <w:rFonts w:hint="eastAsia" w:ascii="仿宋" w:hAnsi="仿宋" w:eastAsia="仿宋"/>
          <w:sz w:val="28"/>
          <w:szCs w:val="28"/>
          <w:lang w:val="en-US" w:eastAsia="zh-CN"/>
        </w:rPr>
        <w:t>(8:30--12:00,13:30--17:30)</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3.携带材料:网上报名序号、身份证、户口本(或居住证)的原件及复印件，退役军人还需携带退役证的原件及复印件。</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4.电子摄像:现场确认的同时进行电子摄像。</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5.确认时的防疫要求：进校门时，考生需配合学院疫情防控人员的检查，按要求佩戴好口罩，出示天津健康码绿码，扫“天津战疫二维码”，测体温正常(低于37.3摄氏度)，并进行登记后方可进入。</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(三)打印考生证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现场确认完成后，考生须通过报名系统自行打印“考生证”。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bookmarkStart w:id="0" w:name="OLE_LINK1"/>
      <w:bookmarkStart w:id="1" w:name="OLE_LINK2"/>
      <w:r>
        <w:rPr>
          <w:rFonts w:hint="eastAsia" w:ascii="楷体" w:hAnsi="楷体" w:eastAsia="楷体"/>
          <w:sz w:val="28"/>
          <w:szCs w:val="28"/>
        </w:rPr>
        <w:t>(四)免试入学</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取得与报考专业相关的职业资格证书三级及以上的考生、在服役期间荣立三等功(含)以上的退役军人考生可申请免试入学。符合免试入学条件的考生在现场确认时，携带考生证及相关证书的原件及复印件到学院办理免考手续，经认定后方具备免试资格。</w:t>
      </w:r>
    </w:p>
    <w:bookmarkEnd w:id="0"/>
    <w:bookmarkEnd w:id="1"/>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五、考试及时间安排</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（一）考试形式</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面试，主要内容包括测试学员的思想政治表现、身体状况、职业道德、语言表达能力、解决实际问题能力以及综合素养等。面试总分为200分。</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（二）考试时间</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658" w:firstLineChars="235"/>
        <w:contextualSpacing/>
        <w:textAlignment w:val="auto"/>
        <w:rPr>
          <w:rFonts w:ascii="仿宋" w:hAnsi="仿宋" w:eastAsia="仿宋"/>
          <w:sz w:val="28"/>
          <w:szCs w:val="28"/>
        </w:rPr>
      </w:pPr>
      <w:r>
        <w:rPr>
          <w:rFonts w:hint="eastAsia" w:ascii="仿宋" w:hAnsi="仿宋" w:eastAsia="仿宋"/>
          <w:sz w:val="28"/>
          <w:szCs w:val="28"/>
        </w:rPr>
        <w:t>10月 24日8:30。</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（三）考试地点</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天津铁道职业技术学院(天津市河北区建昌道21号)。</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（四）考试需携带材料</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考生证、身份证、考生健康卡及考试安全承诺书(见附件1)。</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楷体" w:hAnsi="楷体" w:eastAsia="楷体"/>
          <w:sz w:val="28"/>
          <w:szCs w:val="28"/>
        </w:rPr>
      </w:pPr>
      <w:r>
        <w:rPr>
          <w:rFonts w:hint="eastAsia" w:ascii="楷体" w:hAnsi="楷体" w:eastAsia="楷体"/>
          <w:sz w:val="28"/>
          <w:szCs w:val="28"/>
        </w:rPr>
        <w:t>（五）考试要求</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考生须严格遵守学院疫情防控工作要求，10月</w:t>
      </w:r>
      <w:r>
        <w:rPr>
          <w:rFonts w:hint="eastAsia" w:ascii="仿宋" w:hAnsi="仿宋" w:eastAsia="仿宋"/>
          <w:sz w:val="28"/>
          <w:szCs w:val="28"/>
          <w:lang w:val="en-US" w:eastAsia="zh-CN"/>
        </w:rPr>
        <w:t>10</w:t>
      </w:r>
      <w:r>
        <w:rPr>
          <w:rFonts w:hint="eastAsia" w:ascii="仿宋" w:hAnsi="仿宋" w:eastAsia="仿宋"/>
          <w:sz w:val="28"/>
          <w:szCs w:val="28"/>
        </w:rPr>
        <w:t>日至考试当天，考生尽量不要离津，注意个人卫生和防护，尽量避免与外地来津人员接触，避免去人群流动性较大的场所聚集。考试当天入场时需提交“考生健康卡及考试安全承诺书”。</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六、录取原则</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1. 学院录取工作遵循公平、公正、公开的原则；执行教育部和天津市招生委员会的录取政策以及本简章公布的有关规定；以考生填报的志愿和考试成绩为主要录取依据，德智体美劳全面考核，择优录取。录取过程中，自觉接受市招生委员会、纪检监察部门、考生和社会各界的监督。</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2. 专业志愿录取以分数优先为原则，即先按高分到低分排队，依次按照考生填报的专业志愿顺序录取。如考生分数未达到第一专业志愿录取分数，即看是否达到第二专业志愿录取分数。</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3.关于录取专业对身体健康要求，执行教育部、卫生部、中国残疾人联合会颁布的《普通高等学校招生体检工作指导意见》及人力资源和社会保障部、教育部、卫生部《关于进一步规范入学和就业体检项目维护乙肝表面抗原携带者入学和就业权利的通知》等有关要求。对于不符合要求的考生，按照《普通高等学校招生体检工作指导意见》的相关规定处理。</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4.学院在接到市招生主管部门核准备案的录取考生名单后以特快专递的方式寄发录取通知书。</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5.被高职扩招专项考试招生录取的新生须按学院规定的时间和要求履行报到注册手续。新生入学后，学院按照有关规定对新生进行复查，凡身体等方面不符合条件或有舞弊行为的，取消其入学资格。对于徇私舞弊以及违反纪律的考生，学院将及时报告有关部门，并视情节轻重追究有关人员的责任。</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七、助学政策</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.对于家庭经济困难的学生，按照国家有关助学政策，学费给予减免。</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.为鼓励优秀学生，学院设有国家奖学金、国家励志奖学金、天津市人民政府奖学金、王梦恕励学奖学金、国家助学金、国家助学贷款、学院奖学金等，每年评发一次，最高标准8000元。</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八、</w:t>
      </w:r>
      <w:r>
        <w:rPr>
          <w:rFonts w:hint="eastAsia" w:ascii="黑体" w:hAnsi="黑体" w:eastAsia="黑体"/>
          <w:sz w:val="28"/>
          <w:szCs w:val="28"/>
          <w:lang w:val="en-US" w:eastAsia="zh-CN"/>
        </w:rPr>
        <w:t>教学</w:t>
      </w:r>
      <w:r>
        <w:rPr>
          <w:rFonts w:hint="eastAsia" w:ascii="黑体" w:hAnsi="黑体" w:eastAsia="黑体"/>
          <w:sz w:val="28"/>
          <w:szCs w:val="28"/>
        </w:rPr>
        <w:t>形式</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采用集中教学与分散教学相结合、校内教学与校外教学相结合、线上教学与线下教学相结合等方式开展。</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黑体" w:hAnsi="黑体" w:eastAsia="黑体"/>
          <w:sz w:val="28"/>
          <w:szCs w:val="28"/>
        </w:rPr>
      </w:pPr>
      <w:r>
        <w:rPr>
          <w:rFonts w:hint="eastAsia" w:ascii="黑体" w:hAnsi="黑体" w:eastAsia="黑体"/>
          <w:sz w:val="28"/>
          <w:szCs w:val="28"/>
        </w:rPr>
        <w:t>九、毕业证书</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ascii="仿宋" w:hAnsi="仿宋" w:eastAsia="仿宋"/>
          <w:sz w:val="28"/>
          <w:szCs w:val="28"/>
        </w:rPr>
      </w:pPr>
      <w:r>
        <w:rPr>
          <w:rFonts w:hint="eastAsia" w:ascii="仿宋" w:hAnsi="仿宋" w:eastAsia="仿宋"/>
          <w:sz w:val="28"/>
          <w:szCs w:val="28"/>
        </w:rPr>
        <w:t>学院根据《天津铁道职业技术学院学生管理规定》、《天津铁道职业技术学院学籍管理办法》等规章制度进行管理，按专业人才培养方案对学生进行培养。学生完成规定学业，经审查达到毕业标准的颁发天津铁道职业技术学院全日制普通高等学校专科毕业证书。</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黑体" w:hAnsi="黑体" w:eastAsia="黑体"/>
          <w:sz w:val="28"/>
          <w:szCs w:val="28"/>
          <w:lang w:val="en-US" w:eastAsia="zh-CN"/>
        </w:rPr>
      </w:pPr>
      <w:r>
        <w:rPr>
          <w:rFonts w:hint="eastAsia" w:ascii="黑体" w:hAnsi="黑体" w:eastAsia="黑体"/>
          <w:sz w:val="28"/>
          <w:szCs w:val="28"/>
        </w:rPr>
        <w:t>十、</w:t>
      </w:r>
      <w:r>
        <w:rPr>
          <w:rFonts w:hint="eastAsia" w:ascii="黑体" w:hAnsi="黑体" w:eastAsia="黑体"/>
          <w:sz w:val="28"/>
          <w:szCs w:val="28"/>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1.在招生咨询过程中天津铁道职业技术学院咨询人员的意见、建议仅作为考生填报志愿的参考，不属学院录取承诺。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2.学院不委托任何中介机构或个人进行招生录取活动，请谨防招生诈骗，其任何承诺与我院无关。</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560" w:firstLineChars="200"/>
        <w:contextualSpacing/>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3.咨询及录取结果查询方式：</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1680" w:firstLineChars="600"/>
        <w:contextualSpacing/>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网址：</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"http://zhao.tjtdxy.cn" </w:instrText>
      </w:r>
      <w:r>
        <w:rPr>
          <w:rFonts w:hint="eastAsia" w:ascii="仿宋" w:hAnsi="仿宋" w:eastAsia="仿宋"/>
          <w:sz w:val="28"/>
          <w:szCs w:val="28"/>
          <w:lang w:val="en-US" w:eastAsia="zh-CN"/>
        </w:rPr>
        <w:fldChar w:fldCharType="separate"/>
      </w:r>
      <w:r>
        <w:rPr>
          <w:rStyle w:val="8"/>
          <w:rFonts w:hint="eastAsia" w:ascii="仿宋" w:hAnsi="仿宋" w:eastAsia="仿宋"/>
          <w:sz w:val="28"/>
          <w:szCs w:val="28"/>
          <w:lang w:val="en-US" w:eastAsia="zh-CN"/>
        </w:rPr>
        <w:t>http://zhao.tjtdxy.cn</w:t>
      </w:r>
      <w:r>
        <w:rPr>
          <w:rFonts w:hint="eastAsia" w:ascii="仿宋" w:hAnsi="仿宋" w:eastAsia="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after="0" w:line="400" w:lineRule="exact"/>
        <w:ind w:firstLine="1680" w:firstLineChars="600"/>
        <w:contextualSpacing/>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电话：022-26748181   26186939  26744940</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1680" w:firstLineChars="600"/>
        <w:contextualSpacing/>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微信公众号：津铁院招生 </w:t>
      </w:r>
    </w:p>
    <w:p>
      <w:pPr>
        <w:widowControl w:val="0"/>
        <w:spacing w:after="0"/>
        <w:contextualSpacing/>
        <w:rPr>
          <w:rFonts w:ascii="仿宋" w:hAnsi="仿宋" w:eastAsia="仿宋"/>
          <w:sz w:val="28"/>
          <w:szCs w:val="28"/>
        </w:rPr>
      </w:pPr>
      <w:r>
        <w:rPr>
          <w:rFonts w:hAnsi="仿宋" w:eastAsia="仿宋"/>
          <w:color w:val="111111"/>
          <w:sz w:val="24"/>
        </w:rPr>
        <w:drawing>
          <wp:anchor distT="0" distB="0" distL="114300" distR="114300" simplePos="0" relativeHeight="251659264" behindDoc="0" locked="0" layoutInCell="1" allowOverlap="1">
            <wp:simplePos x="0" y="0"/>
            <wp:positionH relativeFrom="column">
              <wp:posOffset>401320</wp:posOffset>
            </wp:positionH>
            <wp:positionV relativeFrom="paragraph">
              <wp:posOffset>195580</wp:posOffset>
            </wp:positionV>
            <wp:extent cx="1124585" cy="1449705"/>
            <wp:effectExtent l="0" t="0" r="18415" b="17145"/>
            <wp:wrapSquare wrapText="bothSides"/>
            <wp:docPr id="3" name="图片 0" descr="带文字的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带文字的公众号二维码.jpg"/>
                    <pic:cNvPicPr>
                      <a:picLocks noChangeAspect="1"/>
                    </pic:cNvPicPr>
                  </pic:nvPicPr>
                  <pic:blipFill>
                    <a:blip r:embed="rId5" cstate="print"/>
                    <a:stretch>
                      <a:fillRect/>
                    </a:stretch>
                  </pic:blipFill>
                  <pic:spPr>
                    <a:xfrm>
                      <a:off x="0" y="0"/>
                      <a:ext cx="1124585" cy="1449705"/>
                    </a:xfrm>
                    <a:prstGeom prst="rect">
                      <a:avLst/>
                    </a:prstGeom>
                  </pic:spPr>
                </pic:pic>
              </a:graphicData>
            </a:graphic>
          </wp:anchor>
        </w:drawing>
      </w:r>
    </w:p>
    <w:p>
      <w:pPr>
        <w:spacing w:line="264" w:lineRule="auto"/>
        <w:ind w:firstLine="218" w:firstLineChars="91"/>
        <w:contextualSpacing/>
        <w:rPr>
          <w:rFonts w:ascii="Times New Roman" w:hAnsi="Times New Roman" w:eastAsia="仿宋" w:cs="Times New Roman"/>
          <w:color w:val="111111"/>
          <w:sz w:val="24"/>
        </w:rPr>
      </w:pPr>
      <w:r>
        <w:rPr>
          <w:rFonts w:ascii="Times New Roman" w:hAnsi="Times New Roman" w:eastAsia="仿宋" w:cs="Times New Roman"/>
          <w:color w:val="111111"/>
          <w:sz w:val="24"/>
        </w:rPr>
        <w:t>学院网址：http://www.tjtdxy.cn</w:t>
      </w:r>
    </w:p>
    <w:p>
      <w:pPr>
        <w:spacing w:line="264" w:lineRule="auto"/>
        <w:ind w:firstLine="218" w:firstLineChars="91"/>
        <w:contextualSpacing/>
        <w:rPr>
          <w:rFonts w:ascii="Times New Roman" w:hAnsi="Times New Roman" w:eastAsia="仿宋" w:cs="Times New Roman"/>
          <w:color w:val="111111"/>
          <w:sz w:val="24"/>
        </w:rPr>
      </w:pPr>
      <w:r>
        <w:rPr>
          <w:rFonts w:ascii="Times New Roman" w:hAnsi="Times New Roman" w:eastAsia="仿宋" w:cs="Times New Roman"/>
          <w:color w:val="111111"/>
          <w:sz w:val="24"/>
        </w:rPr>
        <w:t>咨询电话：022-26744940  26186939  26748181</w:t>
      </w:r>
    </w:p>
    <w:p>
      <w:pPr>
        <w:spacing w:line="264" w:lineRule="auto"/>
        <w:ind w:firstLine="218" w:firstLineChars="91"/>
        <w:contextualSpacing/>
        <w:rPr>
          <w:rFonts w:ascii="Times New Roman" w:hAnsi="Times New Roman" w:eastAsia="仿宋" w:cs="Times New Roman"/>
          <w:color w:val="111111"/>
          <w:sz w:val="24"/>
        </w:rPr>
      </w:pPr>
      <w:r>
        <w:rPr>
          <w:rFonts w:ascii="Times New Roman" w:hAnsi="Times New Roman" w:eastAsia="仿宋" w:cs="Times New Roman"/>
          <w:color w:val="111111"/>
          <w:sz w:val="24"/>
        </w:rPr>
        <w:t>电子邮箱：tjtdxy@163.com</w:t>
      </w:r>
    </w:p>
    <w:p>
      <w:pPr>
        <w:spacing w:line="264" w:lineRule="auto"/>
        <w:ind w:firstLine="218" w:firstLineChars="91"/>
        <w:contextualSpacing/>
        <w:rPr>
          <w:rFonts w:ascii="Times New Roman" w:hAnsi="Times New Roman" w:eastAsia="仿宋" w:cs="Times New Roman"/>
          <w:color w:val="111111"/>
          <w:sz w:val="24"/>
        </w:rPr>
      </w:pPr>
      <w:r>
        <w:rPr>
          <w:rFonts w:ascii="Times New Roman" w:hAnsi="Times New Roman" w:eastAsia="仿宋" w:cs="Times New Roman"/>
          <w:color w:val="111111"/>
          <w:sz w:val="24"/>
        </w:rPr>
        <w:t>纪检电话：022-26186927</w:t>
      </w:r>
    </w:p>
    <w:p>
      <w:pPr>
        <w:spacing w:line="264" w:lineRule="auto"/>
        <w:ind w:firstLine="218" w:firstLineChars="91"/>
        <w:contextualSpacing/>
        <w:rPr>
          <w:rFonts w:ascii="Times New Roman" w:hAnsi="Times New Roman" w:eastAsia="仿宋" w:cs="Times New Roman"/>
          <w:color w:val="111111"/>
          <w:sz w:val="24"/>
        </w:rPr>
      </w:pPr>
      <w:r>
        <w:rPr>
          <w:rFonts w:ascii="Times New Roman" w:hAnsi="Times New Roman" w:eastAsia="仿宋" w:cs="Times New Roman"/>
          <w:color w:val="111111"/>
          <w:sz w:val="24"/>
        </w:rPr>
        <w:t>学院地址：天津市河北区建昌道21号</w:t>
      </w:r>
    </w:p>
    <w:p>
      <w:pPr>
        <w:spacing w:line="264" w:lineRule="auto"/>
        <w:ind w:firstLine="218" w:firstLineChars="91"/>
        <w:contextualSpacing/>
        <w:rPr>
          <w:rFonts w:ascii="仿宋" w:hAnsi="仿宋" w:eastAsia="仿宋"/>
          <w:sz w:val="24"/>
          <w:szCs w:val="24"/>
        </w:rPr>
      </w:pPr>
      <w:r>
        <w:rPr>
          <w:rFonts w:ascii="Times New Roman" w:hAnsi="Times New Roman" w:eastAsia="仿宋" w:cs="Times New Roman"/>
          <w:color w:val="111111"/>
          <w:sz w:val="24"/>
        </w:rPr>
        <w:t>邮政编码：300240</w:t>
      </w:r>
      <w:r>
        <w:rPr>
          <w:rFonts w:ascii="仿宋" w:hAnsi="仿宋" w:eastAsia="仿宋"/>
          <w:sz w:val="24"/>
          <w:szCs w:val="24"/>
        </w:rPr>
        <w:br w:type="page"/>
      </w:r>
    </w:p>
    <w:p>
      <w:pPr>
        <w:widowControl w:val="0"/>
        <w:spacing w:after="0" w:line="400" w:lineRule="exact"/>
        <w:rPr>
          <w:rFonts w:ascii="仿宋" w:hAnsi="仿宋" w:eastAsia="仿宋" w:cs="仿宋"/>
          <w:bCs/>
          <w:kern w:val="2"/>
          <w:sz w:val="24"/>
          <w:szCs w:val="24"/>
        </w:rPr>
      </w:pPr>
      <w:r>
        <w:rPr>
          <w:rFonts w:hint="eastAsia" w:ascii="仿宋" w:hAnsi="仿宋" w:eastAsia="仿宋" w:cs="仿宋"/>
          <w:bCs/>
          <w:kern w:val="2"/>
          <w:sz w:val="24"/>
          <w:szCs w:val="24"/>
        </w:rPr>
        <w:t>附件1</w:t>
      </w:r>
    </w:p>
    <w:p>
      <w:pPr>
        <w:widowControl w:val="0"/>
        <w:spacing w:after="0" w:line="480" w:lineRule="exact"/>
        <w:jc w:val="center"/>
        <w:rPr>
          <w:rFonts w:ascii="方正小标宋简体" w:hAnsi="方正小标宋简体" w:eastAsia="方正小标宋简体" w:cs="方正小标宋简体"/>
          <w:bCs/>
          <w:w w:val="90"/>
          <w:kern w:val="2"/>
          <w:sz w:val="36"/>
          <w:szCs w:val="36"/>
        </w:rPr>
      </w:pPr>
      <w:r>
        <w:rPr>
          <w:rFonts w:hint="eastAsia" w:ascii="方正小标宋简体" w:hAnsi="方正小标宋简体" w:eastAsia="方正小标宋简体" w:cs="方正小标宋简体"/>
          <w:bCs/>
          <w:w w:val="90"/>
          <w:kern w:val="2"/>
          <w:sz w:val="36"/>
          <w:szCs w:val="36"/>
        </w:rPr>
        <w:t>2020年高职扩招专项招生考试</w:t>
      </w:r>
    </w:p>
    <w:p>
      <w:pPr>
        <w:widowControl w:val="0"/>
        <w:spacing w:after="0" w:line="48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kern w:val="2"/>
          <w:sz w:val="36"/>
          <w:szCs w:val="36"/>
        </w:rPr>
        <w:t>考生健康卡及考试安全承诺书</w:t>
      </w:r>
    </w:p>
    <w:p>
      <w:pPr>
        <w:widowControl w:val="0"/>
        <w:spacing w:beforeLines="50" w:after="0"/>
        <w:rPr>
          <w:rFonts w:ascii="仿宋" w:hAnsi="仿宋" w:eastAsia="仿宋" w:cs="仿宋"/>
          <w:sz w:val="28"/>
          <w:szCs w:val="28"/>
        </w:rPr>
      </w:pPr>
      <w:r>
        <w:rPr>
          <w:rFonts w:hint="eastAsia" w:ascii="仿宋" w:hAnsi="仿宋" w:eastAsia="仿宋" w:cs="仿宋"/>
          <w:kern w:val="2"/>
          <w:sz w:val="28"/>
          <w:szCs w:val="28"/>
        </w:rPr>
        <w:t xml:space="preserve">           考生号：                    姓名：</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92"/>
        <w:gridCol w:w="1223"/>
        <w:gridCol w:w="1379"/>
        <w:gridCol w:w="95"/>
        <w:gridCol w:w="936"/>
        <w:gridCol w:w="1044"/>
        <w:gridCol w:w="748"/>
        <w:gridCol w:w="27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20" w:lineRule="exact"/>
              <w:jc w:val="center"/>
              <w:rPr>
                <w:rFonts w:ascii="Times New Roman" w:hAnsi="Times New Roman" w:eastAsia="宋体" w:cs="Times New Roman"/>
                <w:kern w:val="2"/>
                <w:sz w:val="21"/>
                <w:szCs w:val="21"/>
              </w:rPr>
            </w:pPr>
            <w:r>
              <w:rPr>
                <w:rFonts w:hint="eastAsia" w:ascii="Times New Roman" w:hAnsi="Times New Roman" w:eastAsia="宋体" w:cs="宋体"/>
                <w:b/>
                <w:sz w:val="21"/>
                <w:szCs w:val="21"/>
              </w:rPr>
              <w:t>天数</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20" w:lineRule="exact"/>
              <w:jc w:val="center"/>
              <w:rPr>
                <w:rFonts w:ascii="Times New Roman" w:hAnsi="Times New Roman" w:eastAsia="宋体" w:cs="Times New Roman"/>
                <w:kern w:val="2"/>
                <w:sz w:val="21"/>
                <w:szCs w:val="21"/>
              </w:rPr>
            </w:pPr>
            <w:r>
              <w:rPr>
                <w:rFonts w:hint="eastAsia" w:ascii="Times New Roman" w:hAnsi="Times New Roman" w:eastAsia="宋体" w:cs="宋体"/>
                <w:b/>
                <w:sz w:val="21"/>
                <w:szCs w:val="21"/>
              </w:rPr>
              <w:t>日期</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20" w:lineRule="exact"/>
              <w:jc w:val="center"/>
              <w:rPr>
                <w:rFonts w:ascii="Times New Roman" w:hAnsi="Times New Roman" w:eastAsia="宋体" w:cs="Times New Roman"/>
                <w:b/>
                <w:sz w:val="21"/>
                <w:szCs w:val="21"/>
              </w:rPr>
            </w:pPr>
            <w:r>
              <w:rPr>
                <w:rFonts w:hint="eastAsia" w:ascii="Times New Roman" w:hAnsi="Times New Roman" w:eastAsia="宋体" w:cs="宋体"/>
                <w:b/>
                <w:sz w:val="21"/>
                <w:szCs w:val="21"/>
              </w:rPr>
              <w:t>体温是否</w:t>
            </w:r>
          </w:p>
          <w:p>
            <w:pPr>
              <w:widowControl w:val="0"/>
              <w:spacing w:after="0" w:line="220" w:lineRule="exact"/>
              <w:jc w:val="center"/>
              <w:rPr>
                <w:rFonts w:ascii="Times New Roman" w:hAnsi="Times New Roman" w:eastAsia="宋体" w:cs="Times New Roman"/>
                <w:kern w:val="2"/>
                <w:sz w:val="21"/>
                <w:szCs w:val="21"/>
              </w:rPr>
            </w:pPr>
            <w:r>
              <w:rPr>
                <w:rFonts w:hint="eastAsia" w:ascii="Times New Roman" w:hAnsi="Times New Roman" w:eastAsia="宋体" w:cs="宋体"/>
                <w:b/>
                <w:sz w:val="21"/>
                <w:szCs w:val="21"/>
              </w:rPr>
              <w:t>≥</w:t>
            </w:r>
            <w:r>
              <w:rPr>
                <w:rFonts w:ascii="Times New Roman" w:hAnsi="Times New Roman" w:eastAsia="宋体" w:cs="Times New Roman"/>
                <w:b/>
                <w:sz w:val="21"/>
                <w:szCs w:val="21"/>
              </w:rPr>
              <w:t>37.3</w:t>
            </w:r>
            <w:r>
              <w:rPr>
                <w:rFonts w:hint="eastAsia" w:ascii="Times New Roman" w:hAnsi="Times New Roman" w:eastAsia="宋体" w:cs="宋体"/>
                <w:b/>
                <w:sz w:val="21"/>
                <w:szCs w:val="21"/>
              </w:rPr>
              <w:t>℃</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20" w:lineRule="exact"/>
              <w:jc w:val="center"/>
              <w:rPr>
                <w:rFonts w:ascii="Times New Roman" w:hAnsi="Times New Roman" w:eastAsia="宋体" w:cs="Times New Roman"/>
                <w:kern w:val="2"/>
                <w:sz w:val="21"/>
                <w:szCs w:val="21"/>
              </w:rPr>
            </w:pPr>
            <w:r>
              <w:rPr>
                <w:rFonts w:hint="eastAsia" w:ascii="Times New Roman" w:hAnsi="Times New Roman" w:eastAsia="宋体" w:cs="宋体"/>
                <w:b/>
                <w:sz w:val="21"/>
                <w:szCs w:val="21"/>
              </w:rPr>
              <w:t>本人、家人及共同居住人员是否存在发热、乏力、咳嗽、呼吸困难、腹泻等病状</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20" w:lineRule="exact"/>
              <w:jc w:val="center"/>
              <w:rPr>
                <w:rFonts w:ascii="Times New Roman" w:hAnsi="Times New Roman" w:eastAsia="宋体" w:cs="Times New Roman"/>
                <w:b/>
                <w:kern w:val="2"/>
                <w:sz w:val="21"/>
                <w:szCs w:val="21"/>
              </w:rPr>
            </w:pPr>
            <w:r>
              <w:rPr>
                <w:rFonts w:hint="eastAsia" w:ascii="Times New Roman" w:hAnsi="Times New Roman" w:eastAsia="宋体" w:cs="宋体"/>
                <w:b/>
                <w:kern w:val="2"/>
                <w:sz w:val="21"/>
                <w:szCs w:val="21"/>
              </w:rPr>
              <w:t>天津健康码（每日更新）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10月10日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both"/>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第2天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10月11日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第3天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10月12日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第4天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10月13日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第5天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10月14日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第6天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10月15日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第7天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10月16日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第8天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10月17日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第9天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10月18日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第10天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10月19日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第11天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10月20日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第12天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10月21日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第13天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10月22日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第14天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10月23日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3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20" w:lineRule="exact"/>
              <w:jc w:val="center"/>
              <w:rPr>
                <w:rFonts w:ascii="宋体" w:hAnsi="宋体" w:eastAsia="宋体" w:cs="宋体"/>
                <w:sz w:val="21"/>
                <w:szCs w:val="21"/>
              </w:rPr>
            </w:pPr>
            <w:r>
              <w:rPr>
                <w:rFonts w:hint="eastAsia" w:ascii="宋体" w:hAnsi="宋体" w:eastAsia="宋体" w:cs="宋体"/>
                <w:sz w:val="21"/>
                <w:szCs w:val="21"/>
              </w:rPr>
              <w:t>考试当天</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kern w:val="2"/>
                <w:sz w:val="21"/>
                <w:szCs w:val="21"/>
              </w:rPr>
              <w:t>10月24日</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是□   否□</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宋体" w:hAnsi="宋体" w:eastAsia="宋体" w:cs="宋体"/>
                <w:kern w:val="2"/>
                <w:sz w:val="21"/>
                <w:szCs w:val="21"/>
              </w:rPr>
            </w:pPr>
            <w:r>
              <w:rPr>
                <w:rFonts w:hint="eastAsia" w:ascii="宋体" w:hAnsi="宋体" w:eastAsia="宋体" w:cs="宋体"/>
                <w:sz w:val="21"/>
                <w:szCs w:val="21"/>
              </w:rPr>
              <w:t>红色□  橙色□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10</w:t>
            </w:r>
            <w:r>
              <w:rPr>
                <w:rFonts w:hint="eastAsia" w:ascii="Times New Roman" w:hAnsi="Times New Roman" w:eastAsia="宋体" w:cs="宋体"/>
                <w:kern w:val="2"/>
                <w:sz w:val="21"/>
                <w:szCs w:val="21"/>
              </w:rPr>
              <w:t>月</w:t>
            </w:r>
            <w:r>
              <w:rPr>
                <w:rFonts w:ascii="Times New Roman" w:hAnsi="Times New Roman" w:eastAsia="宋体" w:cs="Times New Roman"/>
                <w:kern w:val="2"/>
                <w:sz w:val="21"/>
                <w:szCs w:val="21"/>
              </w:rPr>
              <w:t>10</w:t>
            </w:r>
            <w:r>
              <w:rPr>
                <w:rFonts w:hint="eastAsia" w:ascii="Times New Roman" w:hAnsi="Times New Roman" w:eastAsia="宋体" w:cs="宋体"/>
                <w:kern w:val="2"/>
                <w:sz w:val="21"/>
                <w:szCs w:val="21"/>
              </w:rPr>
              <w:t>日</w:t>
            </w:r>
          </w:p>
          <w:p>
            <w:pPr>
              <w:widowControl w:val="0"/>
              <w:spacing w:after="0" w:line="320" w:lineRule="exact"/>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r>
              <w:rPr>
                <w:rFonts w:hint="eastAsia" w:ascii="Times New Roman" w:hAnsi="Times New Roman" w:eastAsia="宋体" w:cs="宋体"/>
                <w:kern w:val="2"/>
                <w:sz w:val="21"/>
                <w:szCs w:val="21"/>
              </w:rPr>
              <w:t>前</w:t>
            </w:r>
            <w:r>
              <w:rPr>
                <w:rFonts w:ascii="Times New Roman" w:hAnsi="Times New Roman" w:eastAsia="宋体" w:cs="Times New Roman"/>
                <w:kern w:val="2"/>
                <w:sz w:val="21"/>
                <w:szCs w:val="21"/>
              </w:rPr>
              <w:t>14</w:t>
            </w:r>
            <w:r>
              <w:rPr>
                <w:rFonts w:hint="eastAsia" w:ascii="Times New Roman" w:hAnsi="Times New Roman" w:eastAsia="宋体" w:cs="宋体"/>
                <w:kern w:val="2"/>
                <w:sz w:val="21"/>
                <w:szCs w:val="21"/>
              </w:rPr>
              <w:t>天</w:t>
            </w:r>
            <w:r>
              <w:rPr>
                <w:rFonts w:ascii="Times New Roman" w:hAnsi="Times New Roman" w:eastAsia="宋体" w:cs="Times New Roman"/>
                <w:kern w:val="2"/>
                <w:sz w:val="21"/>
                <w:szCs w:val="21"/>
              </w:rPr>
              <w:t>)</w:t>
            </w:r>
          </w:p>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至</w:t>
            </w:r>
          </w:p>
          <w:p>
            <w:pPr>
              <w:widowControl w:val="0"/>
              <w:spacing w:after="0" w:line="320" w:lineRule="exact"/>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10</w:t>
            </w:r>
            <w:r>
              <w:rPr>
                <w:rFonts w:hint="eastAsia" w:ascii="Times New Roman" w:hAnsi="Times New Roman" w:eastAsia="宋体" w:cs="宋体"/>
                <w:kern w:val="2"/>
                <w:sz w:val="21"/>
                <w:szCs w:val="21"/>
              </w:rPr>
              <w:t>月</w:t>
            </w:r>
            <w:r>
              <w:rPr>
                <w:rFonts w:ascii="Times New Roman" w:hAnsi="Times New Roman" w:eastAsia="宋体" w:cs="Times New Roman"/>
                <w:kern w:val="2"/>
                <w:sz w:val="21"/>
                <w:szCs w:val="21"/>
              </w:rPr>
              <w:t>24</w:t>
            </w:r>
            <w:r>
              <w:rPr>
                <w:rFonts w:hint="eastAsia" w:ascii="Times New Roman" w:hAnsi="Times New Roman" w:eastAsia="宋体" w:cs="宋体"/>
                <w:kern w:val="2"/>
                <w:sz w:val="21"/>
                <w:szCs w:val="21"/>
              </w:rPr>
              <w:t>日</w:t>
            </w:r>
            <w:r>
              <w:rPr>
                <w:rFonts w:ascii="Times New Roman" w:hAnsi="Times New Roman" w:eastAsia="宋体" w:cs="Times New Roman"/>
                <w:w w:val="90"/>
                <w:kern w:val="2"/>
                <w:sz w:val="21"/>
                <w:szCs w:val="21"/>
              </w:rPr>
              <w:t>(</w:t>
            </w:r>
            <w:r>
              <w:rPr>
                <w:rFonts w:hint="eastAsia" w:ascii="Times New Roman" w:hAnsi="Times New Roman" w:eastAsia="宋体" w:cs="宋体"/>
                <w:w w:val="90"/>
                <w:kern w:val="2"/>
                <w:sz w:val="21"/>
                <w:szCs w:val="21"/>
              </w:rPr>
              <w:t>考试当天</w:t>
            </w:r>
            <w:r>
              <w:rPr>
                <w:rFonts w:ascii="Times New Roman" w:hAnsi="Times New Roman" w:eastAsia="宋体" w:cs="Times New Roman"/>
                <w:w w:val="90"/>
                <w:kern w:val="2"/>
                <w:sz w:val="21"/>
                <w:szCs w:val="21"/>
              </w:rPr>
              <w:t>)</w:t>
            </w:r>
          </w:p>
        </w:tc>
        <w:tc>
          <w:tcPr>
            <w:tcW w:w="14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所在省市</w:t>
            </w:r>
          </w:p>
        </w:tc>
        <w:tc>
          <w:tcPr>
            <w:tcW w:w="34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日期（</w:t>
            </w:r>
            <w:r>
              <w:rPr>
                <w:rFonts w:ascii="Times New Roman" w:hAnsi="Times New Roman" w:eastAsia="宋体" w:cs="Times New Roman"/>
                <w:kern w:val="2"/>
                <w:sz w:val="21"/>
                <w:szCs w:val="21"/>
              </w:rPr>
              <w:t>**</w:t>
            </w:r>
            <w:r>
              <w:rPr>
                <w:rFonts w:hint="eastAsia" w:ascii="Times New Roman" w:hAnsi="Times New Roman" w:eastAsia="宋体" w:cs="宋体"/>
                <w:kern w:val="2"/>
                <w:sz w:val="21"/>
                <w:szCs w:val="21"/>
              </w:rPr>
              <w:t>月</w:t>
            </w:r>
            <w:r>
              <w:rPr>
                <w:rFonts w:ascii="Times New Roman" w:hAnsi="Times New Roman" w:eastAsia="宋体" w:cs="Times New Roman"/>
                <w:kern w:val="2"/>
                <w:sz w:val="21"/>
                <w:szCs w:val="21"/>
              </w:rPr>
              <w:t xml:space="preserve"> **</w:t>
            </w:r>
            <w:r>
              <w:rPr>
                <w:rFonts w:hint="eastAsia" w:ascii="Times New Roman" w:hAnsi="Times New Roman" w:eastAsia="宋体" w:cs="宋体"/>
                <w:kern w:val="2"/>
                <w:sz w:val="21"/>
                <w:szCs w:val="21"/>
              </w:rPr>
              <w:t>日至</w:t>
            </w:r>
            <w:r>
              <w:rPr>
                <w:rFonts w:ascii="Times New Roman" w:hAnsi="Times New Roman" w:eastAsia="宋体" w:cs="Times New Roman"/>
                <w:kern w:val="2"/>
                <w:sz w:val="21"/>
                <w:szCs w:val="21"/>
              </w:rPr>
              <w:t>**</w:t>
            </w:r>
            <w:r>
              <w:rPr>
                <w:rFonts w:hint="eastAsia" w:ascii="Times New Roman" w:hAnsi="Times New Roman" w:eastAsia="宋体" w:cs="宋体"/>
                <w:kern w:val="2"/>
                <w:sz w:val="21"/>
                <w:szCs w:val="21"/>
              </w:rPr>
              <w:t>月</w:t>
            </w:r>
            <w:r>
              <w:rPr>
                <w:rFonts w:ascii="Times New Roman" w:hAnsi="Times New Roman" w:eastAsia="宋体" w:cs="Times New Roman"/>
                <w:kern w:val="2"/>
                <w:sz w:val="21"/>
                <w:szCs w:val="21"/>
              </w:rPr>
              <w:t>**</w:t>
            </w:r>
            <w:r>
              <w:rPr>
                <w:rFonts w:hint="eastAsia" w:ascii="Times New Roman" w:hAnsi="Times New Roman" w:eastAsia="宋体" w:cs="宋体"/>
                <w:kern w:val="2"/>
                <w:sz w:val="21"/>
                <w:szCs w:val="21"/>
              </w:rPr>
              <w:t>日）</w:t>
            </w:r>
          </w:p>
        </w:tc>
        <w:tc>
          <w:tcPr>
            <w:tcW w:w="3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本人所在省市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34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3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34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3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跨省市行程</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日期</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出发地</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目的地</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中转地</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18"/>
                <w:szCs w:val="18"/>
              </w:rPr>
              <w:t>交通工具</w:t>
            </w:r>
            <w:r>
              <w:rPr>
                <w:rFonts w:ascii="Times New Roman" w:hAnsi="Times New Roman" w:eastAsia="宋体" w:cs="Times New Roman"/>
                <w:kern w:val="2"/>
                <w:sz w:val="18"/>
                <w:szCs w:val="18"/>
              </w:rPr>
              <w:t>(</w:t>
            </w:r>
            <w:r>
              <w:rPr>
                <w:rFonts w:hint="eastAsia" w:ascii="Times New Roman" w:hAnsi="Times New Roman" w:eastAsia="宋体" w:cs="宋体"/>
                <w:kern w:val="2"/>
                <w:sz w:val="18"/>
                <w:szCs w:val="18"/>
              </w:rPr>
              <w:t>车次</w:t>
            </w:r>
            <w:r>
              <w:rPr>
                <w:rFonts w:ascii="Times New Roman" w:hAnsi="Times New Roman" w:eastAsia="宋体" w:cs="Times New Roman"/>
                <w:kern w:val="2"/>
                <w:sz w:val="18"/>
                <w:szCs w:val="18"/>
              </w:rPr>
              <w:t>/</w:t>
            </w:r>
            <w:r>
              <w:rPr>
                <w:rFonts w:hint="eastAsia" w:ascii="Times New Roman" w:hAnsi="Times New Roman" w:eastAsia="宋体" w:cs="宋体"/>
                <w:kern w:val="2"/>
                <w:sz w:val="18"/>
                <w:szCs w:val="18"/>
              </w:rPr>
              <w:t>航班</w:t>
            </w:r>
            <w:r>
              <w:rPr>
                <w:rFonts w:ascii="Times New Roman" w:hAnsi="Times New Roman" w:eastAsia="宋体" w:cs="Times New Roman"/>
                <w:kern w:val="2"/>
                <w:sz w:val="18"/>
                <w:szCs w:val="18"/>
              </w:rPr>
              <w:t>/</w:t>
            </w:r>
            <w:r>
              <w:rPr>
                <w:rFonts w:hint="eastAsia" w:ascii="Times New Roman" w:hAnsi="Times New Roman" w:eastAsia="宋体" w:cs="宋体"/>
                <w:kern w:val="2"/>
                <w:sz w:val="18"/>
                <w:szCs w:val="18"/>
              </w:rPr>
              <w:t>自驾</w:t>
            </w:r>
            <w:r>
              <w:rPr>
                <w:rFonts w:ascii="Times New Roman" w:hAnsi="Times New Roman" w:eastAsia="宋体" w:cs="Times New Roman"/>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1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kern w:val="2"/>
                <w:sz w:val="21"/>
              </w:rPr>
            </w:pPr>
          </w:p>
        </w:tc>
        <w:tc>
          <w:tcPr>
            <w:tcW w:w="14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280" w:lineRule="exact"/>
              <w:jc w:val="center"/>
              <w:rPr>
                <w:rFonts w:ascii="Times New Roman" w:hAnsi="Times New Roman" w:eastAsia="宋体" w:cs="Times New Roman"/>
                <w:kern w:val="2"/>
                <w:sz w:val="18"/>
                <w:szCs w:val="18"/>
              </w:rPr>
            </w:pPr>
            <w:r>
              <w:rPr>
                <w:rFonts w:hint="eastAsia" w:ascii="Times New Roman" w:hAnsi="Times New Roman" w:eastAsia="宋体" w:cs="宋体"/>
                <w:kern w:val="2"/>
                <w:sz w:val="18"/>
                <w:szCs w:val="18"/>
              </w:rPr>
              <w:t>本人、家人及共同居住人员身体不适情况、接触其他人员情况</w:t>
            </w:r>
          </w:p>
        </w:tc>
        <w:tc>
          <w:tcPr>
            <w:tcW w:w="6753" w:type="dxa"/>
            <w:gridSpan w:val="7"/>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320" w:lineRule="exact"/>
              <w:jc w:val="both"/>
              <w:rPr>
                <w:rFonts w:ascii="Times New Roman" w:hAnsi="Times New Roman"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after="0" w:line="320" w:lineRule="exact"/>
              <w:jc w:val="center"/>
              <w:rPr>
                <w:rFonts w:ascii="Times New Roman" w:hAnsi="Times New Roman" w:eastAsia="宋体" w:cs="Times New Roman"/>
                <w:kern w:val="2"/>
                <w:sz w:val="21"/>
                <w:szCs w:val="21"/>
              </w:rPr>
            </w:pPr>
            <w:r>
              <w:rPr>
                <w:rFonts w:hint="eastAsia" w:ascii="Times New Roman" w:hAnsi="Times New Roman" w:eastAsia="宋体" w:cs="宋体"/>
                <w:kern w:val="2"/>
                <w:sz w:val="21"/>
                <w:szCs w:val="21"/>
              </w:rPr>
              <w:t>安全承诺</w:t>
            </w:r>
          </w:p>
        </w:tc>
        <w:tc>
          <w:tcPr>
            <w:tcW w:w="6753" w:type="dxa"/>
            <w:gridSpan w:val="7"/>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320" w:lineRule="exact"/>
              <w:jc w:val="both"/>
              <w:rPr>
                <w:rFonts w:ascii="Times New Roman" w:hAnsi="Times New Roman" w:eastAsia="楷体" w:cs="Times New Roman"/>
                <w:b/>
                <w:kern w:val="2"/>
                <w:sz w:val="21"/>
                <w:szCs w:val="21"/>
              </w:rPr>
            </w:pPr>
            <w:r>
              <w:rPr>
                <w:rFonts w:hint="eastAsia" w:ascii="Times New Roman" w:hAnsi="Times New Roman" w:eastAsia="楷体" w:cs="楷体"/>
                <w:b/>
                <w:kern w:val="2"/>
                <w:sz w:val="21"/>
                <w:szCs w:val="21"/>
              </w:rPr>
              <w:t>本人承诺：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widowControl w:val="0"/>
        <w:spacing w:after="0" w:line="320" w:lineRule="exact"/>
        <w:ind w:firstLine="720" w:firstLineChars="300"/>
        <w:jc w:val="both"/>
        <w:rPr>
          <w:rFonts w:ascii="Times New Roman" w:hAnsi="Times New Roman" w:eastAsia="黑体" w:cs="Times New Roman"/>
          <w:sz w:val="24"/>
          <w:szCs w:val="24"/>
        </w:rPr>
      </w:pPr>
    </w:p>
    <w:p>
      <w:pPr>
        <w:widowControl w:val="0"/>
        <w:spacing w:after="0" w:line="320" w:lineRule="exact"/>
        <w:ind w:firstLine="4164" w:firstLineChars="1388"/>
        <w:rPr>
          <w:rFonts w:ascii="仿宋" w:hAnsi="仿宋" w:eastAsia="仿宋"/>
          <w:sz w:val="24"/>
          <w:szCs w:val="24"/>
        </w:rPr>
      </w:pPr>
      <w:r>
        <w:rPr>
          <w:rFonts w:hint="eastAsia" w:ascii="楷体" w:hAnsi="楷体" w:eastAsia="楷体" w:cs="楷体"/>
          <w:kern w:val="2"/>
          <w:sz w:val="30"/>
          <w:szCs w:val="30"/>
        </w:rPr>
        <w:t xml:space="preserve">    本人签字：</w:t>
      </w:r>
    </w:p>
    <w:sectPr>
      <w:footerReference r:id="rId3" w:type="default"/>
      <w:pgSz w:w="11906" w:h="16838"/>
      <w:pgMar w:top="1474" w:right="1304" w:bottom="1247" w:left="1304"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32"/>
        <w:szCs w:val="32"/>
      </w:rPr>
    </w:pPr>
    <w:r>
      <w:rPr>
        <w:rFonts w:ascii="Times New Roman" w:hAnsi="Times New Roman" w:cs="Times New Roman"/>
        <w:sz w:val="32"/>
        <w:szCs w:val="32"/>
      </w:rPr>
      <w:pict>
        <v:shape id="_x0000_s3075" o:spid="_x0000_s3075"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12297"/>
    <w:multiLevelType w:val="singleLevel"/>
    <w:tmpl w:val="B2B12297"/>
    <w:lvl w:ilvl="0" w:tentative="0">
      <w:start w:val="2"/>
      <w:numFmt w:val="decimal"/>
      <w:lvlText w:val="%1."/>
      <w:lvlJc w:val="left"/>
      <w:pPr>
        <w:tabs>
          <w:tab w:val="left" w:pos="312"/>
        </w:tabs>
      </w:pPr>
    </w:lvl>
  </w:abstractNum>
  <w:abstractNum w:abstractNumId="1">
    <w:nsid w:val="3103AE22"/>
    <w:multiLevelType w:val="singleLevel"/>
    <w:tmpl w:val="3103AE22"/>
    <w:lvl w:ilvl="0" w:tentative="0">
      <w:start w:val="1"/>
      <w:numFmt w:val="decimal"/>
      <w:suff w:val="space"/>
      <w:lvlText w:val="%1."/>
      <w:lvlJc w:val="left"/>
    </w:lvl>
  </w:abstractNum>
  <w:abstractNum w:abstractNumId="2">
    <w:nsid w:val="34AD2ED3"/>
    <w:multiLevelType w:val="singleLevel"/>
    <w:tmpl w:val="34AD2ED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hdrShapeDefaults>
    <o:shapelayout v:ext="edit">
      <o:idmap v:ext="edit" data="3"/>
    </o:shapelayout>
  </w:hdrShapeDefault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D31D50"/>
    <w:rsid w:val="00016078"/>
    <w:rsid w:val="0009335A"/>
    <w:rsid w:val="000C0657"/>
    <w:rsid w:val="0011753F"/>
    <w:rsid w:val="001415B1"/>
    <w:rsid w:val="002157AA"/>
    <w:rsid w:val="002F0391"/>
    <w:rsid w:val="00323B43"/>
    <w:rsid w:val="0036386D"/>
    <w:rsid w:val="003A6988"/>
    <w:rsid w:val="003D0A63"/>
    <w:rsid w:val="003D37D8"/>
    <w:rsid w:val="00426133"/>
    <w:rsid w:val="004358AB"/>
    <w:rsid w:val="004B6D87"/>
    <w:rsid w:val="00514DC5"/>
    <w:rsid w:val="005704F3"/>
    <w:rsid w:val="005917A7"/>
    <w:rsid w:val="00614504"/>
    <w:rsid w:val="00713716"/>
    <w:rsid w:val="007F69DB"/>
    <w:rsid w:val="007F7AA6"/>
    <w:rsid w:val="00807739"/>
    <w:rsid w:val="00830ADA"/>
    <w:rsid w:val="008520A9"/>
    <w:rsid w:val="008B7726"/>
    <w:rsid w:val="00925576"/>
    <w:rsid w:val="009C74B9"/>
    <w:rsid w:val="00A029B1"/>
    <w:rsid w:val="00A619B5"/>
    <w:rsid w:val="00B24D55"/>
    <w:rsid w:val="00BA1F5D"/>
    <w:rsid w:val="00D31D50"/>
    <w:rsid w:val="00EC6F0F"/>
    <w:rsid w:val="00FD2AB3"/>
    <w:rsid w:val="01BA7C25"/>
    <w:rsid w:val="08B03472"/>
    <w:rsid w:val="092106E2"/>
    <w:rsid w:val="0E244189"/>
    <w:rsid w:val="319F6567"/>
    <w:rsid w:val="3A026B84"/>
    <w:rsid w:val="422E2C27"/>
    <w:rsid w:val="4BA90469"/>
    <w:rsid w:val="4E9C1B82"/>
    <w:rsid w:val="4EE829EC"/>
    <w:rsid w:val="55125137"/>
    <w:rsid w:val="58366594"/>
    <w:rsid w:val="5A3E295A"/>
    <w:rsid w:val="5B5C5F25"/>
    <w:rsid w:val="5C6A1E2B"/>
    <w:rsid w:val="5D765E8E"/>
    <w:rsid w:val="60354904"/>
    <w:rsid w:val="74EB07E6"/>
    <w:rsid w:val="75614967"/>
    <w:rsid w:val="79FC49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3"/>
    <w:semiHidden/>
    <w:qFormat/>
    <w:uiPriority w:val="99"/>
    <w:rPr>
      <w:rFonts w:ascii="Tahoma" w:hAnsi="Tahoma"/>
      <w:sz w:val="18"/>
      <w:szCs w:val="18"/>
    </w:rPr>
  </w:style>
  <w:style w:type="character" w:customStyle="1" w:styleId="11">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5</Pages>
  <Words>617</Words>
  <Characters>3517</Characters>
  <Lines>29</Lines>
  <Paragraphs>8</Paragraphs>
  <TotalTime>18</TotalTime>
  <ScaleCrop>false</ScaleCrop>
  <LinksUpToDate>false</LinksUpToDate>
  <CharactersWithSpaces>4126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2020-06-10T08:20:00Z</dcterms:created>
  <dc:creator>邓剑民</dc:creator>
  <cp:lastModifiedBy>我在故我在</cp:lastModifiedBy>
  <cp:lastPrinted>2020-09-17T05:41:00Z</cp:lastPrinted>
  <dcterms:modified xsi:type="dcterms:W3CDTF">2020-09-18T02:07:19Z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